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24F3FFE6" w:rsidR="00800BD8" w:rsidRDefault="00061FA8" w:rsidP="00800BD8">
      <w:pPr>
        <w:pStyle w:val="berschrift2"/>
      </w:pPr>
      <w:r>
        <w:t>Mischungs</w:t>
      </w:r>
      <w:r w:rsidR="00785E31">
        <w:t>rechnen</w:t>
      </w:r>
    </w:p>
    <w:p w14:paraId="7E15C20D" w14:textId="63D8F588" w:rsidR="009224E0" w:rsidRDefault="00061FA8" w:rsidP="0098303D">
      <w:pPr>
        <w:pStyle w:val="berschrift3"/>
      </w:pPr>
      <w:proofErr w:type="spellStart"/>
      <w:r>
        <w:t>Epoxyd</w:t>
      </w:r>
      <w:proofErr w:type="spellEnd"/>
      <w:r>
        <w:t>-Harz mischen</w:t>
      </w:r>
    </w:p>
    <w:p w14:paraId="367743CC" w14:textId="77777777" w:rsidR="00785E31" w:rsidRDefault="00785E31" w:rsidP="004D7799"/>
    <w:p w14:paraId="0108FA49" w14:textId="3AF6232C" w:rsidR="00061FA8" w:rsidRDefault="00061FA8" w:rsidP="004D7799">
      <w:r>
        <w:t xml:space="preserve">Die Rezeptur zur Herstellung eines </w:t>
      </w:r>
      <w:proofErr w:type="spellStart"/>
      <w:r>
        <w:t>Epoxyd</w:t>
      </w:r>
      <w:proofErr w:type="spellEnd"/>
      <w:r>
        <w:t>-Harz</w:t>
      </w:r>
      <w:r>
        <w:t>es lautet: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615"/>
        <w:gridCol w:w="2187"/>
        <w:gridCol w:w="1275"/>
      </w:tblGrid>
      <w:tr w:rsidR="001C2C7B" w14:paraId="6D4B2D06" w14:textId="77777777" w:rsidTr="001C2C7B">
        <w:tc>
          <w:tcPr>
            <w:tcW w:w="1589" w:type="dxa"/>
          </w:tcPr>
          <w:p w14:paraId="727AFA37" w14:textId="192D7450" w:rsidR="004873D1" w:rsidRDefault="004873D1" w:rsidP="004D7799">
            <w:r>
              <w:t>Man mische</w:t>
            </w:r>
          </w:p>
        </w:tc>
        <w:tc>
          <w:tcPr>
            <w:tcW w:w="615" w:type="dxa"/>
          </w:tcPr>
          <w:p w14:paraId="72DE03E4" w14:textId="4DCE022E" w:rsidR="004873D1" w:rsidRDefault="004873D1" w:rsidP="001C2C7B">
            <w:pPr>
              <w:jc w:val="right"/>
            </w:pPr>
            <w:r>
              <w:t>100</w:t>
            </w:r>
          </w:p>
        </w:tc>
        <w:tc>
          <w:tcPr>
            <w:tcW w:w="2187" w:type="dxa"/>
          </w:tcPr>
          <w:p w14:paraId="4A484208" w14:textId="3023F7D0" w:rsidR="004873D1" w:rsidRDefault="004873D1" w:rsidP="004D7799">
            <w:r>
              <w:t>Gewichtsanteil</w:t>
            </w:r>
            <w:r>
              <w:t>e</w:t>
            </w:r>
          </w:p>
        </w:tc>
        <w:tc>
          <w:tcPr>
            <w:tcW w:w="1275" w:type="dxa"/>
          </w:tcPr>
          <w:p w14:paraId="5119FEA7" w14:textId="4BE876D7" w:rsidR="004873D1" w:rsidRDefault="004873D1" w:rsidP="004D7799">
            <w:r>
              <w:t>Harz</w:t>
            </w:r>
          </w:p>
        </w:tc>
      </w:tr>
      <w:tr w:rsidR="001C2C7B" w14:paraId="76E58A4F" w14:textId="77777777" w:rsidTr="001C2C7B">
        <w:tc>
          <w:tcPr>
            <w:tcW w:w="1589" w:type="dxa"/>
          </w:tcPr>
          <w:p w14:paraId="780B2FA5" w14:textId="2A5BA749" w:rsidR="004873D1" w:rsidRDefault="004873D1" w:rsidP="004D7799">
            <w:r>
              <w:t>mit</w:t>
            </w:r>
          </w:p>
        </w:tc>
        <w:tc>
          <w:tcPr>
            <w:tcW w:w="615" w:type="dxa"/>
          </w:tcPr>
          <w:p w14:paraId="602FBF81" w14:textId="758F02D0" w:rsidR="004873D1" w:rsidRDefault="001C2C7B" w:rsidP="001C2C7B">
            <w:pPr>
              <w:jc w:val="right"/>
            </w:pPr>
            <w:r>
              <w:t>85</w:t>
            </w:r>
          </w:p>
        </w:tc>
        <w:tc>
          <w:tcPr>
            <w:tcW w:w="2187" w:type="dxa"/>
          </w:tcPr>
          <w:p w14:paraId="22D2ADBA" w14:textId="46E79104" w:rsidR="004873D1" w:rsidRDefault="004873D1" w:rsidP="004D7799">
            <w:r>
              <w:t>Gewichtsanteilen</w:t>
            </w:r>
          </w:p>
        </w:tc>
        <w:tc>
          <w:tcPr>
            <w:tcW w:w="1275" w:type="dxa"/>
          </w:tcPr>
          <w:p w14:paraId="075F87B3" w14:textId="58D6518F" w:rsidR="004873D1" w:rsidRDefault="001C2C7B" w:rsidP="004D7799">
            <w:r>
              <w:t>Härter</w:t>
            </w:r>
          </w:p>
        </w:tc>
      </w:tr>
      <w:tr w:rsidR="001C2C7B" w14:paraId="0DABEED2" w14:textId="77777777" w:rsidTr="001C2C7B">
        <w:tc>
          <w:tcPr>
            <w:tcW w:w="1589" w:type="dxa"/>
          </w:tcPr>
          <w:p w14:paraId="5EF7DFF3" w14:textId="1CDEC998" w:rsidR="004873D1" w:rsidRDefault="001C2C7B" w:rsidP="004D7799">
            <w:r>
              <w:t>und</w:t>
            </w:r>
          </w:p>
        </w:tc>
        <w:tc>
          <w:tcPr>
            <w:tcW w:w="615" w:type="dxa"/>
          </w:tcPr>
          <w:p w14:paraId="665752CE" w14:textId="29E888D6" w:rsidR="004873D1" w:rsidRDefault="001C2C7B" w:rsidP="001C2C7B">
            <w:pPr>
              <w:jc w:val="right"/>
            </w:pPr>
            <w:r>
              <w:t>600</w:t>
            </w:r>
          </w:p>
        </w:tc>
        <w:tc>
          <w:tcPr>
            <w:tcW w:w="2187" w:type="dxa"/>
          </w:tcPr>
          <w:p w14:paraId="3F108765" w14:textId="418870C9" w:rsidR="004873D1" w:rsidRDefault="004873D1" w:rsidP="004D7799">
            <w:r>
              <w:t>Gewichtsanteilen</w:t>
            </w:r>
          </w:p>
        </w:tc>
        <w:tc>
          <w:tcPr>
            <w:tcW w:w="1275" w:type="dxa"/>
          </w:tcPr>
          <w:p w14:paraId="7827105E" w14:textId="3103B04B" w:rsidR="004873D1" w:rsidRDefault="001C2C7B" w:rsidP="004D7799">
            <w:r>
              <w:t>Füllstoff</w:t>
            </w:r>
          </w:p>
        </w:tc>
      </w:tr>
    </w:tbl>
    <w:p w14:paraId="7016760D" w14:textId="77777777" w:rsidR="004873D1" w:rsidRDefault="004873D1" w:rsidP="004D7799"/>
    <w:p w14:paraId="28BBD3A0" w14:textId="02A89359" w:rsidR="004873D1" w:rsidRDefault="001C2C7B" w:rsidP="004D7799">
      <w:r>
        <w:t>1. Berechne die prozentualen Anteile der einzelnen Komponenten an der Gesamtmischung.</w:t>
      </w:r>
    </w:p>
    <w:p w14:paraId="1BBBC78A" w14:textId="77777777" w:rsidR="00061FA8" w:rsidRDefault="00061FA8" w:rsidP="004D7799"/>
    <w:p w14:paraId="0DE2BC0C" w14:textId="50C85B47" w:rsidR="00061FA8" w:rsidRDefault="001C2C7B" w:rsidP="004D7799">
      <w:r>
        <w:t>2. Wieviel Gramm der einzelnen Komponenten werden benötigt, um eine Mischung von 2,5 kg anzusetzen?</w:t>
      </w:r>
    </w:p>
    <w:p w14:paraId="752AB282" w14:textId="77777777" w:rsidR="00785E31" w:rsidRDefault="00785E31" w:rsidP="004D7799"/>
    <w:p w14:paraId="07A45373" w14:textId="77777777" w:rsidR="00F00ECF" w:rsidRDefault="00F00ECF" w:rsidP="004D7799"/>
    <w:p w14:paraId="46220F0F" w14:textId="77777777" w:rsidR="00F00ECF" w:rsidRDefault="00F00ECF" w:rsidP="004D7799"/>
    <w:p w14:paraId="23A899B4" w14:textId="77777777" w:rsidR="00F00ECF" w:rsidRDefault="00F00ECF" w:rsidP="004D7799"/>
    <w:p w14:paraId="161D4D69" w14:textId="77777777" w:rsidR="00F00ECF" w:rsidRDefault="00F00ECF" w:rsidP="004D7799"/>
    <w:p w14:paraId="7D2F5F67" w14:textId="77777777" w:rsidR="00F00ECF" w:rsidRDefault="00F00ECF" w:rsidP="004D7799"/>
    <w:p w14:paraId="1D6BDD58" w14:textId="77777777" w:rsidR="00F00ECF" w:rsidRDefault="00F00ECF" w:rsidP="004D7799"/>
    <w:p w14:paraId="4E17343D" w14:textId="77777777" w:rsidR="00F00ECF" w:rsidRDefault="00F00ECF" w:rsidP="004D7799"/>
    <w:p w14:paraId="6B3BD5A2" w14:textId="77777777" w:rsidR="00F00ECF" w:rsidRDefault="00F00ECF" w:rsidP="004D7799"/>
    <w:p w14:paraId="717FA102" w14:textId="77777777" w:rsidR="00F00ECF" w:rsidRDefault="00F00ECF" w:rsidP="004D7799"/>
    <w:p w14:paraId="4850BEFD" w14:textId="77777777" w:rsidR="00F00ECF" w:rsidRDefault="00F00ECF" w:rsidP="004D7799"/>
    <w:p w14:paraId="5CBBD416" w14:textId="77777777" w:rsidR="00F00ECF" w:rsidRDefault="00F00ECF" w:rsidP="004D7799"/>
    <w:p w14:paraId="2CC44A94" w14:textId="77777777" w:rsidR="00F00ECF" w:rsidRDefault="00F00ECF" w:rsidP="004D7799"/>
    <w:p w14:paraId="016DC98A" w14:textId="77777777" w:rsidR="00F00ECF" w:rsidRDefault="00F00ECF" w:rsidP="004D7799"/>
    <w:p w14:paraId="6BD96854" w14:textId="77777777" w:rsidR="00F00ECF" w:rsidRDefault="00F00ECF" w:rsidP="004D7799"/>
    <w:p w14:paraId="0E845D60" w14:textId="77777777" w:rsidR="00F00ECF" w:rsidRDefault="00F00ECF" w:rsidP="004D7799"/>
    <w:p w14:paraId="06FED876" w14:textId="77777777" w:rsidR="00F00ECF" w:rsidRDefault="00F00ECF" w:rsidP="004D7799"/>
    <w:p w14:paraId="79C2DD43" w14:textId="77777777" w:rsidR="00F00ECF" w:rsidRDefault="00F00ECF" w:rsidP="004D7799"/>
    <w:p w14:paraId="43AF4E99" w14:textId="77777777" w:rsidR="00F00ECF" w:rsidRDefault="00F00ECF" w:rsidP="004D7799"/>
    <w:p w14:paraId="020F2728" w14:textId="77777777" w:rsidR="00ED2824" w:rsidRPr="004D7799" w:rsidRDefault="00ED2824" w:rsidP="004D7799"/>
    <w:p w14:paraId="1A5DDBD0" w14:textId="77777777" w:rsidR="00800BD8" w:rsidRDefault="008E23CF" w:rsidP="00485CEF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079A" wp14:editId="2E2F814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5565775" cy="16510"/>
                <wp:effectExtent l="31750" t="26670" r="31750" b="3302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16510"/>
                        </a:xfrm>
                        <a:prstGeom prst="line">
                          <a:avLst/>
                        </a:prstGeom>
                        <a:noFill/>
                        <a:ln w="50800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9E50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6pt" to="437.7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" strokecolor="#a5a5a5 [2092]" strokeweight="4pt">
                <v:stroke dashstyle="1 1" endcap="round"/>
                <v:shadow color="gray" opacity="22938f" mv:blur="0" offset="0,2pt"/>
              </v:line>
            </w:pict>
          </mc:Fallback>
        </mc:AlternateContent>
      </w:r>
      <w:r w:rsidR="009D3936">
        <w:t>Erklärungen aus der Arbeitswelt</w:t>
      </w:r>
    </w:p>
    <w:p w14:paraId="2B9E11AF" w14:textId="50E9F79F" w:rsidR="00B85652" w:rsidRDefault="00061FA8" w:rsidP="00B162C3">
      <w:pPr>
        <w:pStyle w:val="Listenabsatz"/>
        <w:numPr>
          <w:ilvl w:val="0"/>
          <w:numId w:val="2"/>
        </w:numPr>
      </w:pPr>
      <w:proofErr w:type="spellStart"/>
      <w:r>
        <w:t>Epoxyd</w:t>
      </w:r>
      <w:proofErr w:type="spellEnd"/>
      <w:r>
        <w:t>-Harz</w:t>
      </w:r>
      <w:r w:rsidR="00B85652">
        <w:t xml:space="preserve">e sind Kunstharze, die aus mehreren Komponenten bestehen. Es sind Reaktionsharze, die sich mit einem Härter und ggf. Füllstoffen zu einem </w:t>
      </w:r>
      <w:proofErr w:type="spellStart"/>
      <w:r w:rsidR="00B85652">
        <w:t>duroplastischen</w:t>
      </w:r>
      <w:proofErr w:type="spellEnd"/>
      <w:r w:rsidR="00B85652">
        <w:t xml:space="preserve"> Kunststoff umsetzen lassen. Die Harze reagieren mit dem Härter und bilden zusammen einen makromolekularen Kunststoff.</w:t>
      </w:r>
      <w:r w:rsidR="00F00ECF">
        <w:br/>
      </w:r>
      <w:proofErr w:type="spellStart"/>
      <w:r w:rsidR="00B85652">
        <w:t>Epoxyd</w:t>
      </w:r>
      <w:proofErr w:type="spellEnd"/>
      <w:r w:rsidR="00B85652">
        <w:t>-Harze</w:t>
      </w:r>
      <w:r w:rsidR="00B85652">
        <w:t xml:space="preserve"> gelten als hochwertige Werkstoffe/Kunststoffe mit guten technologischen Eigenschaften (mechanische Beständigkeit, gute Temperatur- und Chemikalienbeständigkeit</w:t>
      </w:r>
      <w:r w:rsidR="0053616E">
        <w:t>). Sie werden vielfältig eingesetzt: Lacke, Klebstoffe, Laminate, Formmassen für Komponenten der Elektrotechnik und Elektronik ...).</w:t>
      </w:r>
    </w:p>
    <w:p w14:paraId="5FC90632" w14:textId="6A19370C" w:rsidR="00F92E0D" w:rsidRDefault="00B85652" w:rsidP="00B85652">
      <w:pPr>
        <w:pStyle w:val="Listenabsatz"/>
        <w:ind w:left="360"/>
      </w:pPr>
      <w:r>
        <w:t xml:space="preserve">Epoxide (oder </w:t>
      </w:r>
      <w:proofErr w:type="spellStart"/>
      <w:r>
        <w:t>Epoxyde</w:t>
      </w:r>
      <w:proofErr w:type="spellEnd"/>
      <w:r>
        <w:t>) sind sehr reaktionsfähige, cyclische organische Verbindungen.</w:t>
      </w:r>
    </w:p>
    <w:p w14:paraId="3DFF91B1" w14:textId="77777777" w:rsidR="004D7799" w:rsidRDefault="004D7799" w:rsidP="00F92E0D"/>
    <w:p w14:paraId="108511DD" w14:textId="77777777" w:rsidR="00800BD8" w:rsidRPr="00F35ECF" w:rsidRDefault="008E23CF" w:rsidP="00785E31">
      <w:bookmarkStart w:id="0" w:name="_GoBack"/>
      <w:bookmarkEnd w:id="0"/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79247B8A">
                <wp:simplePos x="0" y="0"/>
                <wp:positionH relativeFrom="column">
                  <wp:posOffset>-13335</wp:posOffset>
                </wp:positionH>
                <wp:positionV relativeFrom="paragraph">
                  <wp:posOffset>175895</wp:posOffset>
                </wp:positionV>
                <wp:extent cx="5551170" cy="28448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284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5C06F4B6" w14:textId="7DDB965A" w:rsidR="00930ACB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 w:rsidRPr="00F00ECF"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 xml:space="preserve"> In der Summe ergeben sich 100 + 85 + 600 = 785 Gewichtsanteile.</w:t>
                            </w:r>
                          </w:p>
                          <w:p w14:paraId="30170305" w14:textId="3B8B193C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Das macht in Prozent:</w:t>
                            </w:r>
                          </w:p>
                          <w:p w14:paraId="6C23FC18" w14:textId="45851F19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100/785 =</w:t>
                            </w:r>
                            <w:r>
                              <w:rPr>
                                <w:sz w:val="20"/>
                              </w:rPr>
                              <w:tab/>
                              <w:t>12,7% Harz</w:t>
                            </w:r>
                          </w:p>
                          <w:p w14:paraId="6253D7A7" w14:textId="65917A02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85/785 =</w:t>
                            </w:r>
                            <w:r>
                              <w:rPr>
                                <w:sz w:val="20"/>
                              </w:rPr>
                              <w:tab/>
                              <w:t>10,8% Härter</w:t>
                            </w:r>
                          </w:p>
                          <w:p w14:paraId="1F06DE79" w14:textId="10C68E1B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600/785 =</w:t>
                            </w:r>
                            <w:r>
                              <w:rPr>
                                <w:sz w:val="20"/>
                              </w:rPr>
                              <w:tab/>
                              <w:t>76,4% Füllstoff</w:t>
                            </w:r>
                          </w:p>
                          <w:p w14:paraId="19028575" w14:textId="77777777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4668EB" w14:textId="708BC78B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Durch Multiplikation mit 2500 g Gesamtmasse ergeben sich:</w:t>
                            </w:r>
                          </w:p>
                          <w:p w14:paraId="2433C14F" w14:textId="004CB920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318 g Harz</w:t>
                            </w:r>
                          </w:p>
                          <w:p w14:paraId="3D730327" w14:textId="72B3289F" w:rsidR="00F00ECF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271 g Härter</w:t>
                            </w:r>
                          </w:p>
                          <w:p w14:paraId="11E6C2E9" w14:textId="1A190C67" w:rsidR="00930ACB" w:rsidRDefault="00F00ECF" w:rsidP="00F00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1911 g Füllstoff</w:t>
                            </w:r>
                          </w:p>
                          <w:p w14:paraId="4DFD8410" w14:textId="77777777" w:rsidR="00F00ECF" w:rsidRPr="00D208E8" w:rsidRDefault="00F00ECF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50A8C3C3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Prozentrechnen – </w:t>
                            </w:r>
                            <w:r w:rsidR="00061FA8">
                              <w:rPr>
                                <w:sz w:val="20"/>
                              </w:rPr>
                              <w:t>Dreisatz – Mischungsrechnen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13.85pt;width:437.1pt;height:2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5C06F4B6" w14:textId="7DDB965A" w:rsidR="00930ACB" w:rsidRDefault="00F00ECF" w:rsidP="00F00ECF">
                      <w:pPr>
                        <w:rPr>
                          <w:sz w:val="20"/>
                        </w:rPr>
                      </w:pPr>
                      <w:r w:rsidRPr="00F00ECF">
                        <w:rPr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 xml:space="preserve"> In der Summe ergeben sich 100 + 85 + 600 = 785 Gewichtsanteile.</w:t>
                      </w:r>
                    </w:p>
                    <w:p w14:paraId="30170305" w14:textId="3B8B193C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Das macht in Prozent:</w:t>
                      </w:r>
                    </w:p>
                    <w:p w14:paraId="6C23FC18" w14:textId="45851F19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100/785 =</w:t>
                      </w:r>
                      <w:r>
                        <w:rPr>
                          <w:sz w:val="20"/>
                        </w:rPr>
                        <w:tab/>
                        <w:t>12,7% Harz</w:t>
                      </w:r>
                    </w:p>
                    <w:p w14:paraId="6253D7A7" w14:textId="65917A02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85/785 =</w:t>
                      </w:r>
                      <w:r>
                        <w:rPr>
                          <w:sz w:val="20"/>
                        </w:rPr>
                        <w:tab/>
                        <w:t>10,8% Härter</w:t>
                      </w:r>
                    </w:p>
                    <w:p w14:paraId="1F06DE79" w14:textId="10C68E1B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600/785 =</w:t>
                      </w:r>
                      <w:r>
                        <w:rPr>
                          <w:sz w:val="20"/>
                        </w:rPr>
                        <w:tab/>
                        <w:t>76,4% Füllstoff</w:t>
                      </w:r>
                    </w:p>
                    <w:p w14:paraId="19028575" w14:textId="77777777" w:rsidR="00F00ECF" w:rsidRDefault="00F00ECF" w:rsidP="00F00ECF">
                      <w:pPr>
                        <w:rPr>
                          <w:sz w:val="20"/>
                        </w:rPr>
                      </w:pPr>
                    </w:p>
                    <w:p w14:paraId="2C4668EB" w14:textId="708BC78B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Durch Multiplikation mit 2500 g Gesamtmasse ergeben sich:</w:t>
                      </w:r>
                    </w:p>
                    <w:p w14:paraId="2433C14F" w14:textId="004CB920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318 g Harz</w:t>
                      </w:r>
                    </w:p>
                    <w:p w14:paraId="3D730327" w14:textId="72B3289F" w:rsidR="00F00ECF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271 g Härter</w:t>
                      </w:r>
                    </w:p>
                    <w:p w14:paraId="11E6C2E9" w14:textId="1A190C67" w:rsidR="00930ACB" w:rsidRDefault="00F00ECF" w:rsidP="00F00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1911 g Füllstoff</w:t>
                      </w:r>
                    </w:p>
                    <w:p w14:paraId="4DFD8410" w14:textId="77777777" w:rsidR="00F00ECF" w:rsidRPr="00D208E8" w:rsidRDefault="00F00ECF" w:rsidP="00F00ECF">
                      <w:pPr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50A8C3C3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Prozentrechnen – </w:t>
                      </w:r>
                      <w:r w:rsidR="00061FA8">
                        <w:rPr>
                          <w:sz w:val="20"/>
                        </w:rPr>
                        <w:t>Dreisatz – Mischungsrechnen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7"/>
      <w:footerReference w:type="default" r:id="rId8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D567" w14:textId="77777777" w:rsidR="009F2A34" w:rsidRDefault="009F2A34">
      <w:r>
        <w:separator/>
      </w:r>
    </w:p>
  </w:endnote>
  <w:endnote w:type="continuationSeparator" w:id="0">
    <w:p w14:paraId="3BDD09D0" w14:textId="77777777" w:rsidR="009F2A34" w:rsidRDefault="009F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1F6BE0E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061FA8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061FA8">
      <w:rPr>
        <w:color w:val="808080" w:themeColor="background1" w:themeShade="80"/>
        <w:sz w:val="16"/>
        <w:szCs w:val="16"/>
      </w:rPr>
      <w:t>© VDMA</w:t>
    </w:r>
    <w:r w:rsidR="00A404FB" w:rsidRPr="00061FA8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061FA8" w:rsidRPr="00061FA8">
      <w:rPr>
        <w:color w:val="808080" w:themeColor="background1" w:themeShade="80"/>
        <w:sz w:val="16"/>
        <w:szCs w:val="16"/>
      </w:rPr>
      <w:t>Wernert</w:t>
    </w:r>
    <w:proofErr w:type="spellEnd"/>
    <w:r w:rsidR="00061FA8" w:rsidRPr="00061FA8">
      <w:rPr>
        <w:color w:val="808080" w:themeColor="background1" w:themeShade="80"/>
        <w:sz w:val="16"/>
        <w:szCs w:val="16"/>
      </w:rPr>
      <w:t xml:space="preserve"> GmbH</w:t>
    </w:r>
    <w:r w:rsidR="00565AC2" w:rsidRPr="00061FA8">
      <w:rPr>
        <w:color w:val="808080" w:themeColor="background1" w:themeShade="80"/>
        <w:sz w:val="16"/>
        <w:szCs w:val="16"/>
      </w:rPr>
      <w:t>. Als Kopiervorlage freigegeben</w:t>
    </w:r>
    <w:r w:rsidR="00930ACB" w:rsidRPr="00061FA8">
      <w:rPr>
        <w:color w:val="808080" w:themeColor="background1" w:themeShade="80"/>
        <w:sz w:val="16"/>
        <w:szCs w:val="16"/>
      </w:rPr>
      <w:t xml:space="preserve"> • </w:t>
    </w:r>
    <w:r w:rsidR="002F25B5" w:rsidRPr="00061FA8">
      <w:rPr>
        <w:color w:val="808080" w:themeColor="background1" w:themeShade="80"/>
        <w:sz w:val="16"/>
        <w:szCs w:val="16"/>
      </w:rPr>
      <w:fldChar w:fldCharType="begin"/>
    </w:r>
    <w:r w:rsidR="002F25B5" w:rsidRPr="00061FA8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061FA8">
      <w:rPr>
        <w:color w:val="808080" w:themeColor="background1" w:themeShade="80"/>
        <w:sz w:val="16"/>
        <w:szCs w:val="16"/>
      </w:rPr>
      <w:fldChar w:fldCharType="separate"/>
    </w:r>
    <w:r w:rsidR="006E0853">
      <w:rPr>
        <w:noProof/>
        <w:color w:val="808080" w:themeColor="background1" w:themeShade="80"/>
        <w:sz w:val="16"/>
        <w:szCs w:val="16"/>
      </w:rPr>
      <w:t>11_VDMA Mathe Wernert_3.docx</w:t>
    </w:r>
    <w:r w:rsidR="002F25B5" w:rsidRPr="00061FA8">
      <w:rPr>
        <w:noProof/>
        <w:color w:val="808080" w:themeColor="background1" w:themeShade="80"/>
        <w:sz w:val="16"/>
        <w:szCs w:val="16"/>
      </w:rPr>
      <w:fldChar w:fldCharType="end"/>
    </w:r>
    <w:r w:rsidR="00905DDC" w:rsidRPr="00061FA8">
      <w:rPr>
        <w:color w:val="808080" w:themeColor="background1" w:themeShade="80"/>
        <w:sz w:val="16"/>
        <w:szCs w:val="16"/>
      </w:rPr>
      <w:t xml:space="preserve"> </w:t>
    </w:r>
    <w:r w:rsidR="00930ACB" w:rsidRPr="00061FA8">
      <w:rPr>
        <w:color w:val="808080" w:themeColor="background1" w:themeShade="80"/>
        <w:sz w:val="16"/>
        <w:szCs w:val="16"/>
      </w:rPr>
      <w:tab/>
      <w:t xml:space="preserve">Seite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6E0853">
      <w:rPr>
        <w:noProof/>
        <w:color w:val="808080" w:themeColor="background1" w:themeShade="80"/>
        <w:sz w:val="16"/>
        <w:szCs w:val="16"/>
      </w:rPr>
      <w:t>1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  <w:r w:rsidR="00930ACB" w:rsidRPr="00061FA8">
      <w:rPr>
        <w:color w:val="808080" w:themeColor="background1" w:themeShade="80"/>
        <w:sz w:val="16"/>
        <w:szCs w:val="16"/>
      </w:rPr>
      <w:t xml:space="preserve"> von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6E0853">
      <w:rPr>
        <w:noProof/>
        <w:color w:val="808080" w:themeColor="background1" w:themeShade="80"/>
        <w:sz w:val="16"/>
        <w:szCs w:val="16"/>
      </w:rPr>
      <w:t>2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2A0C2" w14:textId="77777777" w:rsidR="009F2A34" w:rsidRDefault="009F2A34">
      <w:r>
        <w:separator/>
      </w:r>
    </w:p>
  </w:footnote>
  <w:footnote w:type="continuationSeparator" w:id="0">
    <w:p w14:paraId="799182D0" w14:textId="77777777" w:rsidR="009F2A34" w:rsidRDefault="009F2A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77777777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824">
      <w:rPr>
        <w:color w:val="A6A6A6" w:themeColor="background1" w:themeShade="A6"/>
      </w:rPr>
      <w:t>Algebra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17D02"/>
    <w:multiLevelType w:val="hybridMultilevel"/>
    <w:tmpl w:val="04048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61FA8"/>
    <w:rsid w:val="000A385A"/>
    <w:rsid w:val="00142BF0"/>
    <w:rsid w:val="001B555E"/>
    <w:rsid w:val="001C2C7B"/>
    <w:rsid w:val="0023788C"/>
    <w:rsid w:val="00247720"/>
    <w:rsid w:val="002A0E1A"/>
    <w:rsid w:val="002F25B5"/>
    <w:rsid w:val="00324726"/>
    <w:rsid w:val="00332584"/>
    <w:rsid w:val="00351277"/>
    <w:rsid w:val="003E51FA"/>
    <w:rsid w:val="0043332F"/>
    <w:rsid w:val="0045489D"/>
    <w:rsid w:val="00485CEF"/>
    <w:rsid w:val="004873D1"/>
    <w:rsid w:val="004A2800"/>
    <w:rsid w:val="004D7799"/>
    <w:rsid w:val="00531C68"/>
    <w:rsid w:val="0053616E"/>
    <w:rsid w:val="00565AC2"/>
    <w:rsid w:val="00633A4A"/>
    <w:rsid w:val="006E0853"/>
    <w:rsid w:val="00785E31"/>
    <w:rsid w:val="007E2D7C"/>
    <w:rsid w:val="00800BD8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9F2A34"/>
    <w:rsid w:val="00A12BB8"/>
    <w:rsid w:val="00A404FB"/>
    <w:rsid w:val="00A57940"/>
    <w:rsid w:val="00B06EB7"/>
    <w:rsid w:val="00B162C3"/>
    <w:rsid w:val="00B85652"/>
    <w:rsid w:val="00BE466B"/>
    <w:rsid w:val="00BF1C5C"/>
    <w:rsid w:val="00C149D8"/>
    <w:rsid w:val="00CC229A"/>
    <w:rsid w:val="00D208D1"/>
    <w:rsid w:val="00D208E8"/>
    <w:rsid w:val="00D51722"/>
    <w:rsid w:val="00E2276B"/>
    <w:rsid w:val="00E668A4"/>
    <w:rsid w:val="00ED2824"/>
    <w:rsid w:val="00F00ECF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6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970</Characters>
  <Application>Microsoft Macintosh Word</Application>
  <DocSecurity>0</DocSecurity>
  <Lines>97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1095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11</cp:revision>
  <cp:lastPrinted>2017-08-09T14:28:00Z</cp:lastPrinted>
  <dcterms:created xsi:type="dcterms:W3CDTF">2016-05-04T12:44:00Z</dcterms:created>
  <dcterms:modified xsi:type="dcterms:W3CDTF">2017-08-09T14:28:00Z</dcterms:modified>
</cp:coreProperties>
</file>