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D8" w:rsidRDefault="00C13677" w:rsidP="00800BD8">
      <w:pPr>
        <w:pStyle w:val="berschrift2"/>
      </w:pPr>
      <w:bookmarkStart w:id="0" w:name="_GoBack"/>
      <w:bookmarkEnd w:id="0"/>
      <w:r>
        <w:t>Prozentrechnen</w:t>
      </w:r>
    </w:p>
    <w:p w:rsidR="00990108" w:rsidRDefault="006D67CF" w:rsidP="00965177">
      <w:pPr>
        <w:pStyle w:val="berschrift3"/>
      </w:pPr>
      <w:r>
        <w:t>Bilanz eines Unternehmens ergänzen</w:t>
      </w:r>
    </w:p>
    <w:p w:rsidR="006D67CF" w:rsidRDefault="006D67CF" w:rsidP="002A76E3"/>
    <w:p w:rsidR="00990108" w:rsidRDefault="00990108" w:rsidP="002A76E3">
      <w:r>
        <w:t>Unternehmen müssen jährlich eine Bilanz erstellen. Dies ist eine Gegenüberstellung der Geld- und Sachmittel, über die ein Unternehmen verfügt.</w:t>
      </w:r>
      <w:r w:rsidR="00F114C7">
        <w:t xml:space="preserve"> Bilanzen werden unterteilt in „Aktiva“ und „Passiva“. Die </w:t>
      </w:r>
      <w:r w:rsidR="000D58E0">
        <w:t xml:space="preserve">sich ergebende </w:t>
      </w:r>
      <w:r w:rsidR="00F114C7">
        <w:t xml:space="preserve">Bilanzsumme muss auf beiden Seiten gleich hoch sein. Mit Bilanzen kann </w:t>
      </w:r>
      <w:r w:rsidR="000D58E0">
        <w:t xml:space="preserve">z.B. </w:t>
      </w:r>
      <w:r w:rsidR="00F114C7">
        <w:t>der Gewinn eines Unternehmens ermittelt werden.</w:t>
      </w:r>
    </w:p>
    <w:p w:rsidR="00990108" w:rsidRDefault="00990108" w:rsidP="002A76E3"/>
    <w:p w:rsidR="002A76E3" w:rsidRDefault="002A76E3" w:rsidP="002A76E3">
      <w:r>
        <w:t>In d</w:t>
      </w:r>
      <w:r w:rsidR="00990108">
        <w:t>er abgebildeten</w:t>
      </w:r>
      <w:r>
        <w:t xml:space="preserve"> Bilanz hat das Unternehmen ein Anlagevermögen von 15 Mio. € und ein Umlaufvermögen von 5 Mio. €.</w:t>
      </w:r>
    </w:p>
    <w:p w:rsidR="002A76E3" w:rsidRDefault="002A76E3" w:rsidP="002A76E3"/>
    <w:tbl>
      <w:tblPr>
        <w:tblW w:w="8789" w:type="dxa"/>
        <w:tblLayout w:type="fixed"/>
        <w:tblCellMar>
          <w:top w:w="113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3260"/>
        <w:gridCol w:w="1134"/>
      </w:tblGrid>
      <w:tr w:rsidR="002A76E3" w:rsidRPr="008D1E00">
        <w:tc>
          <w:tcPr>
            <w:tcW w:w="87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6E3" w:rsidRPr="008D1E00" w:rsidRDefault="002A76E3" w:rsidP="00891D28">
            <w:pPr>
              <w:jc w:val="center"/>
              <w:rPr>
                <w:sz w:val="20"/>
              </w:rPr>
            </w:pPr>
            <w:r w:rsidRPr="008D1E00">
              <w:rPr>
                <w:sz w:val="20"/>
              </w:rPr>
              <w:t>Bilanz in Mio. €</w:t>
            </w:r>
          </w:p>
        </w:tc>
      </w:tr>
      <w:tr w:rsidR="002A76E3" w:rsidRPr="008D1E00">
        <w:tc>
          <w:tcPr>
            <w:tcW w:w="4395" w:type="dxa"/>
            <w:gridSpan w:val="2"/>
            <w:tcBorders>
              <w:left w:val="single" w:sz="2" w:space="0" w:color="000000"/>
              <w:bottom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6E3" w:rsidRPr="008D1E00" w:rsidRDefault="002A76E3" w:rsidP="00891D28">
            <w:pPr>
              <w:jc w:val="center"/>
              <w:rPr>
                <w:b/>
                <w:sz w:val="20"/>
              </w:rPr>
            </w:pPr>
            <w:r w:rsidRPr="008D1E00">
              <w:rPr>
                <w:b/>
                <w:sz w:val="20"/>
              </w:rPr>
              <w:t>AKTIVA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6E3" w:rsidRPr="008D1E00" w:rsidRDefault="002A76E3" w:rsidP="00891D28">
            <w:pPr>
              <w:jc w:val="center"/>
              <w:rPr>
                <w:b/>
                <w:sz w:val="20"/>
              </w:rPr>
            </w:pPr>
            <w:r w:rsidRPr="008D1E00">
              <w:rPr>
                <w:b/>
                <w:sz w:val="20"/>
              </w:rPr>
              <w:t>PASSIVA</w:t>
            </w:r>
          </w:p>
        </w:tc>
      </w:tr>
      <w:tr w:rsidR="00891D28" w:rsidRPr="008D1E00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EF5A66" w:rsidRPr="008D1E00" w:rsidRDefault="00891D28" w:rsidP="00EF5A66">
            <w:pPr>
              <w:rPr>
                <w:b/>
                <w:sz w:val="20"/>
              </w:rPr>
            </w:pPr>
            <w:r w:rsidRPr="008D1E00">
              <w:rPr>
                <w:b/>
                <w:sz w:val="20"/>
              </w:rPr>
              <w:t>Anlagevermögen</w:t>
            </w:r>
          </w:p>
          <w:p w:rsidR="00891D28" w:rsidRPr="008D1E00" w:rsidRDefault="00891D28" w:rsidP="00EF5A66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891D28" w:rsidRPr="008D1E00" w:rsidRDefault="00891D28" w:rsidP="00EF5A66">
            <w:pPr>
              <w:jc w:val="right"/>
              <w:rPr>
                <w:b/>
                <w:sz w:val="20"/>
              </w:rPr>
            </w:pPr>
            <w:r w:rsidRPr="008D1E00">
              <w:rPr>
                <w:b/>
                <w:sz w:val="20"/>
              </w:rPr>
              <w:t>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891D28" w:rsidRPr="008D1E00" w:rsidRDefault="00891D28" w:rsidP="00EF5A66">
            <w:pPr>
              <w:rPr>
                <w:b/>
                <w:sz w:val="20"/>
              </w:rPr>
            </w:pPr>
            <w:r w:rsidRPr="008D1E00">
              <w:rPr>
                <w:b/>
                <w:sz w:val="20"/>
              </w:rPr>
              <w:t>Eigenkapital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891D28" w:rsidRPr="008D1E00" w:rsidRDefault="00891D28" w:rsidP="00EF5A66">
            <w:pPr>
              <w:rPr>
                <w:sz w:val="20"/>
              </w:rPr>
            </w:pPr>
          </w:p>
        </w:tc>
      </w:tr>
      <w:tr w:rsidR="00CA7D8A" w:rsidRPr="008D1E00">
        <w:trPr>
          <w:trHeight w:val="635"/>
        </w:trPr>
        <w:tc>
          <w:tcPr>
            <w:tcW w:w="326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CA7D8A" w:rsidRPr="008D1E00" w:rsidRDefault="00CA7D8A" w:rsidP="00EF5A66">
            <w:pPr>
              <w:rPr>
                <w:i/>
                <w:sz w:val="20"/>
              </w:rPr>
            </w:pPr>
            <w:r w:rsidRPr="008D1E00">
              <w:rPr>
                <w:i/>
                <w:sz w:val="20"/>
              </w:rPr>
              <w:t>Sachanlagen</w:t>
            </w:r>
          </w:p>
          <w:p w:rsidR="00CA7D8A" w:rsidRPr="008D1E00" w:rsidRDefault="00CA7D8A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Grundstücke</w:t>
            </w:r>
          </w:p>
          <w:p w:rsidR="00CA7D8A" w:rsidRPr="008D1E00" w:rsidRDefault="00CA7D8A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Gebäude</w:t>
            </w:r>
          </w:p>
          <w:p w:rsidR="00CA7D8A" w:rsidRPr="008D1E00" w:rsidRDefault="00CA7D8A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Fertigungsmaschinen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CA7D8A" w:rsidRPr="008D1E00" w:rsidRDefault="00CA7D8A" w:rsidP="00EF5A66">
            <w:pPr>
              <w:jc w:val="right"/>
              <w:rPr>
                <w:sz w:val="20"/>
              </w:rPr>
            </w:pPr>
          </w:p>
          <w:p w:rsidR="00CA7D8A" w:rsidRPr="008D1E00" w:rsidRDefault="00CA7D8A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0,50</w:t>
            </w:r>
          </w:p>
          <w:p w:rsidR="00CA7D8A" w:rsidRPr="008D1E00" w:rsidRDefault="00CA7D8A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4,50</w:t>
            </w:r>
          </w:p>
          <w:p w:rsidR="00CA7D8A" w:rsidRPr="008D1E00" w:rsidRDefault="00CA7D8A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10,00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CA7D8A" w:rsidRPr="008D1E00" w:rsidRDefault="00CA7D8A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gezeichnetes Kapital</w:t>
            </w:r>
          </w:p>
          <w:p w:rsidR="00CA7D8A" w:rsidRPr="008D1E00" w:rsidRDefault="00CA7D8A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Kapitalrücklage</w:t>
            </w:r>
          </w:p>
          <w:p w:rsidR="00CA7D8A" w:rsidRPr="008D1E00" w:rsidRDefault="00CA7D8A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Gewinnrücklage</w:t>
            </w:r>
          </w:p>
          <w:p w:rsidR="00CA7D8A" w:rsidRPr="008D1E00" w:rsidRDefault="00CA7D8A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Gewinn-/Verlustvortrag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CA7D8A" w:rsidRPr="008D1E00" w:rsidRDefault="00CA7D8A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5,00</w:t>
            </w:r>
          </w:p>
          <w:p w:rsidR="00CA7D8A" w:rsidRPr="008D1E00" w:rsidRDefault="00CA7D8A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1,00</w:t>
            </w:r>
          </w:p>
          <w:p w:rsidR="00CA7D8A" w:rsidRPr="008D1E00" w:rsidRDefault="00CA7D8A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1,40</w:t>
            </w:r>
          </w:p>
          <w:p w:rsidR="00CA7D8A" w:rsidRPr="008D1E00" w:rsidRDefault="00CA7D8A" w:rsidP="00CA7D8A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0,00</w:t>
            </w:r>
          </w:p>
        </w:tc>
      </w:tr>
      <w:tr w:rsidR="00CA7D8A" w:rsidRPr="008D1E00">
        <w:tc>
          <w:tcPr>
            <w:tcW w:w="32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CA7D8A" w:rsidRPr="008D1E00" w:rsidRDefault="00CA7D8A" w:rsidP="00EF5A66">
            <w:pPr>
              <w:rPr>
                <w:i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CA7D8A" w:rsidRPr="008D1E00" w:rsidRDefault="00CA7D8A" w:rsidP="00EF5A66">
            <w:pPr>
              <w:jc w:val="right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CA7D8A" w:rsidRPr="008D1E00" w:rsidRDefault="00CA7D8A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Jahresüberschuss/-</w:t>
            </w:r>
            <w:proofErr w:type="spellStart"/>
            <w:r w:rsidRPr="008D1E00">
              <w:rPr>
                <w:sz w:val="20"/>
              </w:rPr>
              <w:t>fehlbetrag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CA7D8A" w:rsidRPr="008D1E00" w:rsidRDefault="00CA7D8A" w:rsidP="00EF5A66">
            <w:pPr>
              <w:jc w:val="right"/>
              <w:rPr>
                <w:sz w:val="20"/>
              </w:rPr>
            </w:pPr>
          </w:p>
        </w:tc>
      </w:tr>
      <w:tr w:rsidR="002A76E3" w:rsidRPr="008D1E00"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A76E3" w:rsidRPr="008D1E00" w:rsidRDefault="002A76E3" w:rsidP="00EF5A66">
            <w:pPr>
              <w:rPr>
                <w:b/>
                <w:sz w:val="20"/>
              </w:rPr>
            </w:pPr>
            <w:r w:rsidRPr="008D1E00">
              <w:rPr>
                <w:b/>
                <w:sz w:val="20"/>
              </w:rPr>
              <w:t>Umlaufvermögen</w:t>
            </w:r>
          </w:p>
          <w:p w:rsidR="002A76E3" w:rsidRPr="008D1E00" w:rsidRDefault="002A76E3" w:rsidP="00EF5A6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EF5A66" w:rsidRPr="008D1E00" w:rsidRDefault="002A76E3" w:rsidP="00EF5A66">
            <w:pPr>
              <w:jc w:val="right"/>
              <w:rPr>
                <w:b/>
                <w:sz w:val="20"/>
              </w:rPr>
            </w:pPr>
            <w:r w:rsidRPr="008D1E00">
              <w:rPr>
                <w:b/>
                <w:sz w:val="20"/>
              </w:rPr>
              <w:t>5</w:t>
            </w:r>
          </w:p>
          <w:p w:rsidR="002A76E3" w:rsidRPr="008D1E00" w:rsidRDefault="002A76E3" w:rsidP="00EF5A66">
            <w:pPr>
              <w:jc w:val="righ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A76E3" w:rsidRPr="008D1E00" w:rsidRDefault="002A76E3" w:rsidP="00EF5A66">
            <w:pPr>
              <w:rPr>
                <w:b/>
                <w:sz w:val="20"/>
              </w:rPr>
            </w:pPr>
            <w:r w:rsidRPr="008D1E00">
              <w:rPr>
                <w:b/>
                <w:sz w:val="20"/>
              </w:rPr>
              <w:t>Fremdkapital</w:t>
            </w:r>
          </w:p>
          <w:p w:rsidR="002A76E3" w:rsidRPr="008D1E00" w:rsidRDefault="002A76E3" w:rsidP="00EF5A6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A76E3" w:rsidRPr="008D1E00" w:rsidRDefault="002A76E3" w:rsidP="00EF5A66">
            <w:pPr>
              <w:jc w:val="right"/>
              <w:rPr>
                <w:sz w:val="20"/>
              </w:rPr>
            </w:pPr>
          </w:p>
        </w:tc>
      </w:tr>
      <w:tr w:rsidR="002A76E3" w:rsidRPr="008D1E00">
        <w:tc>
          <w:tcPr>
            <w:tcW w:w="3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EF5A66" w:rsidRPr="008D1E00" w:rsidRDefault="00EF5A66" w:rsidP="00EF5A66">
            <w:pPr>
              <w:rPr>
                <w:i/>
                <w:sz w:val="20"/>
              </w:rPr>
            </w:pPr>
            <w:r w:rsidRPr="008D1E00">
              <w:rPr>
                <w:i/>
                <w:sz w:val="20"/>
              </w:rPr>
              <w:t>Vorräte</w:t>
            </w:r>
          </w:p>
          <w:p w:rsidR="00EF5A66" w:rsidRPr="008D1E00" w:rsidRDefault="00EF5A66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Rohstoffe und Zubehör</w:t>
            </w:r>
          </w:p>
          <w:p w:rsidR="00EF5A66" w:rsidRPr="008D1E00" w:rsidRDefault="00EF5A66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fertige Erzeugnisse</w:t>
            </w:r>
          </w:p>
          <w:p w:rsidR="00EF5A66" w:rsidRPr="008D1E00" w:rsidRDefault="00EF5A66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Forderungen</w:t>
            </w:r>
          </w:p>
          <w:p w:rsidR="00EF5A66" w:rsidRPr="008D1E00" w:rsidRDefault="00EF5A66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aus Lieferungen und Leistungen</w:t>
            </w:r>
          </w:p>
          <w:p w:rsidR="00EF5A66" w:rsidRPr="008D1E00" w:rsidRDefault="00EF5A66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Wertpapiere</w:t>
            </w:r>
          </w:p>
          <w:p w:rsidR="002A76E3" w:rsidRPr="008D1E00" w:rsidRDefault="00EF5A66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Kassenbestand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A76E3" w:rsidRPr="008D1E00" w:rsidRDefault="002A76E3" w:rsidP="00EF5A66">
            <w:pPr>
              <w:jc w:val="right"/>
              <w:rPr>
                <w:sz w:val="20"/>
              </w:rPr>
            </w:pPr>
          </w:p>
          <w:p w:rsidR="002A76E3" w:rsidRPr="008D1E00" w:rsidRDefault="002A76E3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0,00</w:t>
            </w:r>
          </w:p>
          <w:p w:rsidR="00EF5A66" w:rsidRPr="008D1E00" w:rsidRDefault="002A76E3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1,30</w:t>
            </w:r>
          </w:p>
          <w:p w:rsidR="002A76E3" w:rsidRPr="008D1E00" w:rsidRDefault="002A76E3" w:rsidP="00EF5A66">
            <w:pPr>
              <w:jc w:val="right"/>
              <w:rPr>
                <w:sz w:val="20"/>
              </w:rPr>
            </w:pPr>
          </w:p>
          <w:p w:rsidR="002A76E3" w:rsidRPr="008D1E00" w:rsidRDefault="002A76E3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3,20</w:t>
            </w:r>
          </w:p>
          <w:p w:rsidR="002A76E3" w:rsidRPr="008D1E00" w:rsidRDefault="002A76E3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0,00</w:t>
            </w:r>
          </w:p>
          <w:p w:rsidR="002A76E3" w:rsidRPr="008D1E00" w:rsidRDefault="002A76E3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0,50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EF5A66" w:rsidRPr="008D1E00" w:rsidRDefault="00EF5A66" w:rsidP="00EF5A66">
            <w:pPr>
              <w:rPr>
                <w:i/>
                <w:sz w:val="20"/>
              </w:rPr>
            </w:pPr>
            <w:r w:rsidRPr="008D1E00">
              <w:rPr>
                <w:i/>
                <w:sz w:val="20"/>
              </w:rPr>
              <w:t>Verbindlichkeiten gegenüber</w:t>
            </w:r>
          </w:p>
          <w:p w:rsidR="00EF5A66" w:rsidRPr="008D1E00" w:rsidRDefault="00EF5A66" w:rsidP="00EF5A66">
            <w:pPr>
              <w:rPr>
                <w:i/>
                <w:sz w:val="20"/>
              </w:rPr>
            </w:pPr>
            <w:r w:rsidRPr="008D1E00">
              <w:rPr>
                <w:i/>
                <w:sz w:val="20"/>
              </w:rPr>
              <w:t>Kreditinstit</w:t>
            </w:r>
            <w:r w:rsidR="00990108" w:rsidRPr="008D1E00">
              <w:rPr>
                <w:i/>
                <w:sz w:val="20"/>
              </w:rPr>
              <w:t>uten</w:t>
            </w:r>
          </w:p>
          <w:p w:rsidR="00EF5A66" w:rsidRPr="008D1E00" w:rsidRDefault="00EF5A66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Restlaufzeit länger als 5 Jahre</w:t>
            </w:r>
          </w:p>
          <w:p w:rsidR="00EF5A66" w:rsidRPr="008D1E00" w:rsidRDefault="00EF5A66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Restlaufzeit 1 bis 5 Jahre</w:t>
            </w:r>
          </w:p>
          <w:p w:rsidR="002A76E3" w:rsidRPr="008D1E00" w:rsidRDefault="00EF5A66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Überziehungskredit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EF5A66" w:rsidRPr="008D1E00" w:rsidRDefault="00EF5A66" w:rsidP="00EF5A66">
            <w:pPr>
              <w:rPr>
                <w:sz w:val="20"/>
              </w:rPr>
            </w:pPr>
          </w:p>
          <w:p w:rsidR="002A76E3" w:rsidRPr="008D1E00" w:rsidRDefault="002A76E3" w:rsidP="00EF5A66">
            <w:pPr>
              <w:rPr>
                <w:sz w:val="20"/>
              </w:rPr>
            </w:pPr>
          </w:p>
          <w:p w:rsidR="002A76E3" w:rsidRPr="008D1E00" w:rsidRDefault="002A76E3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6,00</w:t>
            </w:r>
          </w:p>
          <w:p w:rsidR="002A76E3" w:rsidRPr="008D1E00" w:rsidRDefault="002A76E3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6,00</w:t>
            </w:r>
          </w:p>
          <w:p w:rsidR="002A76E3" w:rsidRPr="008D1E00" w:rsidRDefault="002A76E3" w:rsidP="00EF5A66">
            <w:pPr>
              <w:jc w:val="right"/>
              <w:rPr>
                <w:sz w:val="20"/>
              </w:rPr>
            </w:pPr>
            <w:r w:rsidRPr="008D1E00">
              <w:rPr>
                <w:sz w:val="20"/>
              </w:rPr>
              <w:t>0,00</w:t>
            </w:r>
          </w:p>
        </w:tc>
      </w:tr>
      <w:tr w:rsidR="002A76E3" w:rsidRPr="008D1E00">
        <w:trPr>
          <w:trHeight w:val="45"/>
        </w:trPr>
        <w:tc>
          <w:tcPr>
            <w:tcW w:w="326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A76E3" w:rsidRPr="008D1E00" w:rsidRDefault="002A76E3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Bilanzsumme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990108" w:rsidRPr="008D1E00" w:rsidRDefault="00990108" w:rsidP="00EF5A66">
            <w:pPr>
              <w:rPr>
                <w:sz w:val="20"/>
              </w:rPr>
            </w:pPr>
          </w:p>
          <w:p w:rsidR="002A76E3" w:rsidRPr="008D1E00" w:rsidRDefault="002A76E3" w:rsidP="00EF5A66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A76E3" w:rsidRPr="008D1E00" w:rsidRDefault="002A76E3" w:rsidP="00EF5A66">
            <w:pPr>
              <w:rPr>
                <w:sz w:val="20"/>
              </w:rPr>
            </w:pPr>
            <w:r w:rsidRPr="008D1E00">
              <w:rPr>
                <w:sz w:val="20"/>
              </w:rPr>
              <w:t>Bilanzsumme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A76E3" w:rsidRPr="008D1E00" w:rsidRDefault="002A76E3" w:rsidP="00EF5A66">
            <w:pPr>
              <w:rPr>
                <w:sz w:val="20"/>
              </w:rPr>
            </w:pPr>
          </w:p>
        </w:tc>
      </w:tr>
    </w:tbl>
    <w:p w:rsidR="002A76E3" w:rsidRDefault="002A76E3" w:rsidP="002A76E3"/>
    <w:p w:rsidR="009E5199" w:rsidRDefault="002A76E3" w:rsidP="002A76E3">
      <w:r>
        <w:t xml:space="preserve">a) </w:t>
      </w:r>
      <w:r w:rsidR="009E5199">
        <w:t>Wie hoch ist die Bilanzsumme des Unternehmens? Trage die Werte in die Abbildung ein.</w:t>
      </w:r>
    </w:p>
    <w:p w:rsidR="009E5199" w:rsidRDefault="009E5199" w:rsidP="002A76E3">
      <w:r>
        <w:t xml:space="preserve">b) </w:t>
      </w:r>
      <w:r w:rsidR="002A76E3">
        <w:t>Wie hoch ist das Fremdkapital des Unternehmens? Trage d</w:t>
      </w:r>
      <w:r>
        <w:t>en Wert ebenfalls ein</w:t>
      </w:r>
      <w:r w:rsidR="002A76E3">
        <w:t>.</w:t>
      </w:r>
    </w:p>
    <w:p w:rsidR="002A76E3" w:rsidRDefault="009E5199" w:rsidP="002A76E3">
      <w:r>
        <w:t>c) Wie hoch muss also das Eigenkapital des Unternehmens sein? Trage die Werte für Jahresüberschuss und Eigenkapital ein.</w:t>
      </w:r>
    </w:p>
    <w:p w:rsidR="002A76E3" w:rsidRDefault="009E5199" w:rsidP="002A76E3">
      <w:r>
        <w:t>d</w:t>
      </w:r>
      <w:r w:rsidR="002A76E3">
        <w:t>) Wie viel Prozent der Bilanzsumme beträgt das Anlagevermögen?</w:t>
      </w:r>
    </w:p>
    <w:p w:rsidR="002A76E3" w:rsidRDefault="009E5199" w:rsidP="002A76E3">
      <w:r>
        <w:t>e</w:t>
      </w:r>
      <w:r w:rsidR="002A76E3">
        <w:t>) Wie viel Prozent beträgt das Eigenkapital im Vergleich zur Bilanzsumme?</w:t>
      </w:r>
    </w:p>
    <w:p w:rsidR="002A76E3" w:rsidRDefault="009E5199" w:rsidP="002A76E3">
      <w:r>
        <w:t>f</w:t>
      </w:r>
      <w:r w:rsidR="002A76E3">
        <w:t>) Wie viel Prozent des Anlagevermögens betragen jeweils die Grundstücke, Gebäude und Fertigungsmaschinen? Stelle die prozentualen Anteile in einem Streifendiagramm dar.</w:t>
      </w:r>
    </w:p>
    <w:p w:rsidR="008D1E00" w:rsidRDefault="008D1E00"/>
    <w:p w:rsidR="008D1E00" w:rsidRDefault="008D1E00"/>
    <w:p w:rsidR="00ED2824" w:rsidRDefault="00ED2824"/>
    <w:p w:rsidR="00800BD8" w:rsidRDefault="009D3936" w:rsidP="00485CEF">
      <w:pPr>
        <w:pStyle w:val="berschrift2"/>
      </w:pPr>
      <w:r>
        <w:t>Erklärungen aus der Arbeitswelt</w:t>
      </w:r>
    </w:p>
    <w:p w:rsidR="00D51722" w:rsidRPr="00485CEF" w:rsidRDefault="009E5199" w:rsidP="00F35ECF">
      <w:pPr>
        <w:pStyle w:val="Listenabsatz"/>
        <w:numPr>
          <w:ilvl w:val="0"/>
          <w:numId w:val="2"/>
        </w:numPr>
      </w:pPr>
      <w:r>
        <w:t>Unternehmensbilanz</w:t>
      </w:r>
      <w:r w:rsidR="00E56F52">
        <w:t>:</w:t>
      </w:r>
      <w:r>
        <w:t xml:space="preserve"> </w:t>
      </w:r>
      <w:r w:rsidR="00E56F52">
        <w:t xml:space="preserve">die </w:t>
      </w:r>
      <w:proofErr w:type="spellStart"/>
      <w:r w:rsidR="00E56F52">
        <w:t>summerische</w:t>
      </w:r>
      <w:proofErr w:type="spellEnd"/>
      <w:r w:rsidR="00E56F52">
        <w:t xml:space="preserve"> Gegenüberstellung von Verwendung und Herkunft des Kapitals in Kontendarstellung.</w:t>
      </w:r>
    </w:p>
    <w:p w:rsidR="00F114C7" w:rsidRDefault="00F114C7" w:rsidP="00ED2824">
      <w:pPr>
        <w:pStyle w:val="Listenabsatz"/>
        <w:numPr>
          <w:ilvl w:val="0"/>
          <w:numId w:val="2"/>
        </w:numPr>
      </w:pPr>
      <w:r>
        <w:t>Aktiva:</w:t>
      </w:r>
      <w:r w:rsidR="00E56F52">
        <w:t xml:space="preserve"> stellt dar, wie die Mittel (Vermögen) verwendet wurden.</w:t>
      </w:r>
    </w:p>
    <w:p w:rsidR="00F114C7" w:rsidRDefault="00F114C7" w:rsidP="00ED2824">
      <w:pPr>
        <w:pStyle w:val="Listenabsatz"/>
        <w:numPr>
          <w:ilvl w:val="0"/>
          <w:numId w:val="2"/>
        </w:numPr>
      </w:pPr>
      <w:r>
        <w:t>Passiva:</w:t>
      </w:r>
      <w:r w:rsidR="00E56F52">
        <w:t xml:space="preserve"> stellt dar, woher die Mittel (Kapital) stammen.</w:t>
      </w:r>
    </w:p>
    <w:p w:rsidR="00E56F52" w:rsidRDefault="00E56F52" w:rsidP="00E56F52">
      <w:pPr>
        <w:pStyle w:val="Listenabsatz"/>
        <w:numPr>
          <w:ilvl w:val="0"/>
          <w:numId w:val="2"/>
        </w:numPr>
      </w:pPr>
      <w:r>
        <w:t>Anlagevermögen: dienen dauerhaft dem Geschäftsbetrieb.</w:t>
      </w:r>
    </w:p>
    <w:p w:rsidR="00E56F52" w:rsidRDefault="00F114C7" w:rsidP="00E56F52">
      <w:pPr>
        <w:pStyle w:val="Listenabsatz"/>
        <w:numPr>
          <w:ilvl w:val="0"/>
          <w:numId w:val="2"/>
        </w:numPr>
      </w:pPr>
      <w:r>
        <w:t>Umlaufvermögen:</w:t>
      </w:r>
      <w:r w:rsidR="00E56F52">
        <w:t xml:space="preserve"> dienen der </w:t>
      </w:r>
      <w:r w:rsidR="006C3C41">
        <w:t xml:space="preserve">laufenden </w:t>
      </w:r>
      <w:r w:rsidR="00E56F52">
        <w:t xml:space="preserve">Produktion </w:t>
      </w:r>
      <w:r w:rsidR="006C3C41">
        <w:t>und dem Geschäftsbetrieb.</w:t>
      </w:r>
    </w:p>
    <w:p w:rsidR="00F114C7" w:rsidRDefault="00F114C7" w:rsidP="00ED2824">
      <w:pPr>
        <w:pStyle w:val="Listenabsatz"/>
        <w:numPr>
          <w:ilvl w:val="0"/>
          <w:numId w:val="2"/>
        </w:numPr>
      </w:pPr>
      <w:r>
        <w:t>Eigenkapital:</w:t>
      </w:r>
      <w:r w:rsidR="006C3C41">
        <w:t xml:space="preserve"> gehört den Gesellschaftern/Eigentümern; wird dem Unternehmen für den Geschäftsbetrieb zur Verfügung gestellt.</w:t>
      </w:r>
    </w:p>
    <w:p w:rsidR="006C3C41" w:rsidRDefault="00F114C7" w:rsidP="00B162C3">
      <w:pPr>
        <w:pStyle w:val="Listenabsatz"/>
        <w:numPr>
          <w:ilvl w:val="0"/>
          <w:numId w:val="2"/>
        </w:numPr>
      </w:pPr>
      <w:r>
        <w:t>Fremdkapital:</w:t>
      </w:r>
      <w:r w:rsidR="006C3C41">
        <w:t xml:space="preserve"> z.B. von Banken geliehenes, für den Geschäftsbetrieb zur Verfügung gestelltes Kapital (Geld).</w:t>
      </w:r>
    </w:p>
    <w:p w:rsidR="00C13677" w:rsidRDefault="00C13677" w:rsidP="006C3C41"/>
    <w:p w:rsidR="00C13677" w:rsidRDefault="00C13677" w:rsidP="006C3C41"/>
    <w:p w:rsidR="00C13677" w:rsidRDefault="00C13677" w:rsidP="006C3C41"/>
    <w:p w:rsidR="008D1E00" w:rsidRDefault="008D1E00" w:rsidP="006C3C41"/>
    <w:p w:rsidR="00F35ECF" w:rsidRPr="00F35ECF" w:rsidRDefault="00534E96" w:rsidP="006C3C41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.5pt;margin-top:14pt;width:437.1pt;height:237.5pt;z-index:251660288;mso-wrap-edited:f;mso-position-horizontal:absolute;mso-position-vertical:absolute" wrapcoords="-37 0 -37 21375 21637 21375 21637 0 -37 0" o:allowoverlap="f" filled="f" fillcolor="#a5a5a5 [2092]" strokecolor="#a5a5a5 [2092]" strokeweight="1pt">
            <v:fill o:detectmouseclick="t"/>
            <v:textbox style="mso-next-textbox:#_x0000_s2057" inset=",7.2pt,,7.2pt">
              <w:txbxContent>
                <w:p w:rsidR="00304BAC" w:rsidRDefault="00304BAC" w:rsidP="008D1E00">
                  <w:pPr>
                    <w:pStyle w:val="berschrift2"/>
                  </w:pPr>
                  <w:r>
                    <w:t>Lösung</w:t>
                  </w:r>
                </w:p>
                <w:p w:rsidR="00304BAC" w:rsidRPr="008D1E00" w:rsidRDefault="00304BAC" w:rsidP="000D58E0">
                  <w:pPr>
                    <w:rPr>
                      <w:sz w:val="20"/>
                    </w:rPr>
                  </w:pPr>
                  <w:r w:rsidRPr="008D1E00">
                    <w:rPr>
                      <w:sz w:val="20"/>
                    </w:rPr>
                    <w:t>a) Die Bilanzsumme beträgt 20 Mio. €.</w:t>
                  </w:r>
                </w:p>
                <w:p w:rsidR="00304BAC" w:rsidRPr="008D1E00" w:rsidRDefault="00304BAC" w:rsidP="008D1E00">
                  <w:pPr>
                    <w:rPr>
                      <w:sz w:val="20"/>
                    </w:rPr>
                  </w:pPr>
                  <w:r w:rsidRPr="008D1E00">
                    <w:rPr>
                      <w:sz w:val="20"/>
                    </w:rPr>
                    <w:t>b) Das Fremdkapital beträgt 12 Mio. €.</w:t>
                  </w:r>
                </w:p>
                <w:p w:rsidR="00304BAC" w:rsidRPr="008D1E00" w:rsidRDefault="00304BAC" w:rsidP="000D58E0">
                  <w:pPr>
                    <w:rPr>
                      <w:sz w:val="20"/>
                    </w:rPr>
                  </w:pPr>
                  <w:r w:rsidRPr="008D1E00">
                    <w:rPr>
                      <w:sz w:val="20"/>
                    </w:rPr>
                    <w:t>c) Das Eigenkapital beträgt 8 Mio. €; der Jahresüberschuss</w:t>
                  </w:r>
                  <w:r>
                    <w:rPr>
                      <w:sz w:val="20"/>
                    </w:rPr>
                    <w:t xml:space="preserve"> beträgt 0,6 Mio. €.</w:t>
                  </w:r>
                </w:p>
                <w:p w:rsidR="00304BAC" w:rsidRPr="008D1E00" w:rsidRDefault="00304BAC" w:rsidP="000D58E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</w:t>
                  </w:r>
                  <w:r w:rsidRPr="008D1E00">
                    <w:rPr>
                      <w:sz w:val="20"/>
                    </w:rPr>
                    <w:t>) Das Anlagevermögen beträgt 75% der Bilanzsumme.</w:t>
                  </w:r>
                </w:p>
                <w:p w:rsidR="00304BAC" w:rsidRPr="008D1E00" w:rsidRDefault="00304BAC" w:rsidP="000D58E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</w:t>
                  </w:r>
                  <w:r w:rsidRPr="008D1E00">
                    <w:rPr>
                      <w:sz w:val="20"/>
                    </w:rPr>
                    <w:t>) Das Eigenkapital beträgt im Vergleich zur Bilanzsumme 40%.</w:t>
                  </w:r>
                </w:p>
                <w:p w:rsidR="00304BAC" w:rsidRPr="008D1E00" w:rsidRDefault="00304BAC" w:rsidP="000D58E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  <w:r w:rsidRPr="008D1E00">
                    <w:rPr>
                      <w:sz w:val="20"/>
                    </w:rPr>
                    <w:t>) Grundstücke 3,33%, Gebäude 30% und Fertigungsmaschinen 66,66%. Entsprechend m</w:t>
                  </w:r>
                  <w:r w:rsidR="0007231C">
                    <w:rPr>
                      <w:sz w:val="20"/>
                    </w:rPr>
                    <w:t>üssen</w:t>
                  </w:r>
                  <w:r w:rsidRPr="008D1E00">
                    <w:rPr>
                      <w:sz w:val="20"/>
                    </w:rPr>
                    <w:t xml:space="preserve"> ein Maß für das Streifendiagramm gewählt und die Größen abgetragen werden.</w:t>
                  </w:r>
                </w:p>
                <w:p w:rsidR="00304BAC" w:rsidRPr="008D1E00" w:rsidRDefault="00304BAC" w:rsidP="000D58E0">
                  <w:pPr>
                    <w:rPr>
                      <w:sz w:val="20"/>
                    </w:rPr>
                  </w:pPr>
                </w:p>
                <w:p w:rsidR="00304BAC" w:rsidRDefault="00304BAC" w:rsidP="008D1E0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Schülerinnen und Schüler benötigen für diese Aufgabe je nach wirtschaftlichem Vorwissen 2</w:t>
                  </w:r>
                  <w:r w:rsidRPr="008D1E00">
                    <w:rPr>
                      <w:sz w:val="20"/>
                    </w:rPr>
                    <w:t>0 bis 3</w:t>
                  </w:r>
                  <w:r>
                    <w:rPr>
                      <w:sz w:val="20"/>
                    </w:rPr>
                    <w:t xml:space="preserve">5 </w:t>
                  </w:r>
                  <w:r w:rsidR="00C54773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>in.</w:t>
                  </w:r>
                </w:p>
                <w:p w:rsidR="00304BAC" w:rsidRPr="008D1E00" w:rsidRDefault="00304BAC" w:rsidP="008D1E00">
                  <w:pPr>
                    <w:rPr>
                      <w:sz w:val="20"/>
                    </w:rPr>
                  </w:pPr>
                </w:p>
                <w:p w:rsidR="00304BAC" w:rsidRDefault="00304BAC" w:rsidP="00F35ECF">
                  <w:pPr>
                    <w:pStyle w:val="berschrift2"/>
                  </w:pPr>
                  <w:r>
                    <w:t>S</w:t>
                  </w:r>
                  <w:r w:rsidR="00393087">
                    <w:t>chlagworte zum Inhalt</w:t>
                  </w:r>
                </w:p>
                <w:p w:rsidR="00304BAC" w:rsidRPr="00C13677" w:rsidRDefault="00C1367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Sekundarstufe I – Prozentrechnen – </w:t>
                  </w:r>
                  <w:r w:rsidR="00304BAC">
                    <w:rPr>
                      <w:sz w:val="20"/>
                    </w:rPr>
                    <w:t>Wirtschaft</w:t>
                  </w:r>
                  <w:r w:rsidR="00304BAC" w:rsidRPr="00F35ECF">
                    <w:rPr>
                      <w:sz w:val="20"/>
                    </w:rPr>
                    <w:t xml:space="preserve"> – </w:t>
                  </w:r>
                  <w:r w:rsidR="00304BAC">
                    <w:rPr>
                      <w:sz w:val="20"/>
                    </w:rPr>
                    <w:t>Bilanz – Aktiva – Passiva – Vermögen – Anlagevermögen – Umlaufvermögen – Kapita</w:t>
                  </w:r>
                  <w:r>
                    <w:rPr>
                      <w:sz w:val="20"/>
                    </w:rPr>
                    <w:t>l – Eigenkapital – Fremdkapital</w:t>
                  </w:r>
                </w:p>
              </w:txbxContent>
            </v:textbox>
            <w10:wrap type="tight"/>
          </v:shape>
        </w:pict>
      </w:r>
    </w:p>
    <w:p w:rsidR="00800BD8" w:rsidRPr="00F35ECF" w:rsidRDefault="00800BD8" w:rsidP="00F35ECF">
      <w:pPr>
        <w:tabs>
          <w:tab w:val="left" w:pos="3310"/>
        </w:tabs>
      </w:pPr>
    </w:p>
    <w:sectPr w:rsidR="00800BD8" w:rsidRPr="00F35ECF" w:rsidSect="00800BD8">
      <w:headerReference w:type="default" r:id="rId8"/>
      <w:footerReference w:type="default" r:id="rId9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CB" w:rsidRDefault="006405ED">
      <w:r>
        <w:separator/>
      </w:r>
    </w:p>
  </w:endnote>
  <w:endnote w:type="continuationSeparator" w:id="0">
    <w:p w:rsidR="00724FCB" w:rsidRDefault="0064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auto"/>
    <w:notTrueType/>
    <w:pitch w:val="default"/>
    <w:sig w:usb0="A0BEAFB4" w:usb1="98572933" w:usb2="9857E8F4" w:usb3="9857EA2A" w:csb0="A0BED194" w:csb1="A0BEAF94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AC" w:rsidRPr="006405ED" w:rsidRDefault="00534E96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pict>
        <v:line id="_x0000_s1030" style="position:absolute;flip:y;z-index:251666432;mso-position-horizontal:absolute;mso-position-vertical:absolute" from="2.95pt,-9.9pt" to="440.45pt,-8.4pt" strokecolor="#a5a5a5 [2092]" strokeweight="4pt">
          <v:fill o:detectmouseclick="t"/>
          <v:stroke dashstyle="1 1" endcap="round"/>
          <v:shadow opacity="22938f" offset="0"/>
        </v:line>
      </w:pict>
    </w:r>
    <w:r w:rsidR="00304BAC" w:rsidRPr="006405ED">
      <w:rPr>
        <w:color w:val="808080" w:themeColor="background1" w:themeShade="80"/>
        <w:sz w:val="16"/>
        <w:szCs w:val="16"/>
      </w:rPr>
      <w:t xml:space="preserve">© </w:t>
    </w:r>
    <w:r w:rsidR="00AF42DD" w:rsidRPr="006405ED">
      <w:rPr>
        <w:color w:val="808080" w:themeColor="background1" w:themeShade="80"/>
        <w:sz w:val="16"/>
        <w:szCs w:val="16"/>
      </w:rPr>
      <w:t>VDMA</w:t>
    </w:r>
    <w:r w:rsidR="006405ED" w:rsidRPr="006405ED">
      <w:rPr>
        <w:color w:val="808080" w:themeColor="background1" w:themeShade="80"/>
        <w:sz w:val="16"/>
        <w:szCs w:val="16"/>
      </w:rPr>
      <w:t>, Klett MINT</w:t>
    </w:r>
    <w:r w:rsidR="00AF42DD" w:rsidRPr="006405ED">
      <w:rPr>
        <w:color w:val="808080" w:themeColor="background1" w:themeShade="80"/>
        <w:sz w:val="16"/>
        <w:szCs w:val="16"/>
      </w:rPr>
      <w:t xml:space="preserve"> und Bosch-Rexroth. Als Kopiervorlage freigegeben </w:t>
    </w:r>
    <w:r w:rsidR="00304BAC" w:rsidRPr="006405ED">
      <w:rPr>
        <w:color w:val="808080" w:themeColor="background1" w:themeShade="80"/>
        <w:sz w:val="16"/>
        <w:szCs w:val="16"/>
      </w:rPr>
      <w:t xml:space="preserve">• </w:t>
    </w:r>
    <w:r w:rsidR="006405ED" w:rsidRPr="006405ED">
      <w:rPr>
        <w:sz w:val="16"/>
        <w:szCs w:val="16"/>
      </w:rPr>
      <w:fldChar w:fldCharType="begin"/>
    </w:r>
    <w:r w:rsidR="006405ED" w:rsidRPr="006405ED">
      <w:rPr>
        <w:sz w:val="16"/>
        <w:szCs w:val="16"/>
      </w:rPr>
      <w:instrText xml:space="preserve"> FILENAME  \* MERGEFORMAT </w:instrText>
    </w:r>
    <w:r w:rsidR="006405ED" w:rsidRPr="006405ED">
      <w:rPr>
        <w:sz w:val="16"/>
        <w:szCs w:val="16"/>
      </w:rPr>
      <w:fldChar w:fldCharType="separate"/>
    </w:r>
    <w:r w:rsidR="00134F0A" w:rsidRPr="006405ED">
      <w:rPr>
        <w:noProof/>
        <w:color w:val="808080" w:themeColor="background1" w:themeShade="80"/>
        <w:sz w:val="16"/>
        <w:szCs w:val="16"/>
      </w:rPr>
      <w:t>Prozentrechnen_Bilanz.docx</w:t>
    </w:r>
    <w:r w:rsidR="006405ED" w:rsidRPr="006405ED">
      <w:rPr>
        <w:noProof/>
        <w:color w:val="808080" w:themeColor="background1" w:themeShade="80"/>
        <w:sz w:val="16"/>
        <w:szCs w:val="16"/>
      </w:rPr>
      <w:fldChar w:fldCharType="end"/>
    </w:r>
    <w:r w:rsidR="00304BAC" w:rsidRPr="006405ED">
      <w:rPr>
        <w:color w:val="808080" w:themeColor="background1" w:themeShade="80"/>
        <w:sz w:val="16"/>
        <w:szCs w:val="16"/>
      </w:rPr>
      <w:tab/>
      <w:t xml:space="preserve">Seite </w:t>
    </w:r>
    <w:r w:rsidR="00871501" w:rsidRPr="006405ED">
      <w:rPr>
        <w:color w:val="808080" w:themeColor="background1" w:themeShade="80"/>
        <w:sz w:val="16"/>
        <w:szCs w:val="16"/>
      </w:rPr>
      <w:fldChar w:fldCharType="begin"/>
    </w:r>
    <w:r w:rsidR="00304BAC" w:rsidRPr="006405ED">
      <w:rPr>
        <w:color w:val="808080" w:themeColor="background1" w:themeShade="80"/>
        <w:sz w:val="16"/>
        <w:szCs w:val="16"/>
      </w:rPr>
      <w:instrText xml:space="preserve"> PAGE </w:instrText>
    </w:r>
    <w:r w:rsidR="00871501" w:rsidRPr="006405ED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1</w:t>
    </w:r>
    <w:r w:rsidR="00871501" w:rsidRPr="006405ED">
      <w:rPr>
        <w:color w:val="808080" w:themeColor="background1" w:themeShade="80"/>
        <w:sz w:val="16"/>
        <w:szCs w:val="16"/>
      </w:rPr>
      <w:fldChar w:fldCharType="end"/>
    </w:r>
    <w:r w:rsidR="00304BAC" w:rsidRPr="006405ED">
      <w:rPr>
        <w:color w:val="808080" w:themeColor="background1" w:themeShade="80"/>
        <w:sz w:val="16"/>
        <w:szCs w:val="16"/>
      </w:rPr>
      <w:t xml:space="preserve"> von </w:t>
    </w:r>
    <w:r w:rsidR="00871501" w:rsidRPr="006405ED">
      <w:rPr>
        <w:color w:val="808080" w:themeColor="background1" w:themeShade="80"/>
        <w:sz w:val="16"/>
        <w:szCs w:val="16"/>
      </w:rPr>
      <w:fldChar w:fldCharType="begin"/>
    </w:r>
    <w:r w:rsidR="00304BAC" w:rsidRPr="006405ED">
      <w:rPr>
        <w:color w:val="808080" w:themeColor="background1" w:themeShade="80"/>
        <w:sz w:val="16"/>
        <w:szCs w:val="16"/>
      </w:rPr>
      <w:instrText xml:space="preserve"> NUMPAGES </w:instrText>
    </w:r>
    <w:r w:rsidR="00871501" w:rsidRPr="006405ED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2</w:t>
    </w:r>
    <w:r w:rsidR="00871501" w:rsidRPr="006405ED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CB" w:rsidRDefault="006405ED">
      <w:r>
        <w:separator/>
      </w:r>
    </w:p>
  </w:footnote>
  <w:footnote w:type="continuationSeparator" w:id="0">
    <w:p w:rsidR="00724FCB" w:rsidRDefault="00640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96" w:rsidRDefault="00534E96" w:rsidP="00393087"/>
  <w:p w:rsidR="00393087" w:rsidRPr="00800BD8" w:rsidRDefault="00534E96" w:rsidP="00393087">
    <w:r>
      <w:rPr>
        <w:noProof/>
        <w:lang w:eastAsia="de-DE"/>
      </w:rPr>
      <w:pict>
        <v:rect id="_x0000_s1042" style="position:absolute;margin-left:405.8pt;margin-top:11.15pt;width:90.3pt;height:49.75pt;z-index:251669504" stroked="f"/>
      </w:pict>
    </w:r>
    <w:r w:rsidR="00393087">
      <w:rPr>
        <w:noProof/>
        <w:lang w:eastAsia="de-DE"/>
      </w:rPr>
      <w:drawing>
        <wp:anchor distT="0" distB="0" distL="120396" distR="114300" simplePos="0" relativeHeight="251671552" behindDoc="0" locked="0" layoutInCell="1" allowOverlap="1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3087" w:rsidRPr="00ED2824" w:rsidRDefault="00393087" w:rsidP="00393087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70528" behindDoc="0" locked="0" layoutInCell="1" allowOverlap="1" wp14:anchorId="3A610110" wp14:editId="36729F33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>Algebra aus der Arbeitswelt</w:t>
    </w:r>
  </w:p>
  <w:p w:rsidR="00393087" w:rsidRPr="00800BD8" w:rsidRDefault="00534E96" w:rsidP="00393087">
    <w:pPr>
      <w:tabs>
        <w:tab w:val="left" w:pos="5954"/>
      </w:tabs>
      <w:ind w:right="-7"/>
    </w:pPr>
    <w:r>
      <w:rPr>
        <w:noProof/>
        <w:lang w:eastAsia="de-DE"/>
      </w:rPr>
      <w:pict>
        <v:line id="_x0000_s1041" style="position:absolute;z-index:251668480;mso-position-horizontal:absolute;mso-position-vertical:absolute" from="2.5pt,11.05pt" to="441.85pt,11.05pt" strokecolor="#a5a5a5 [2092]" strokeweight="4pt">
          <v:fill o:detectmouseclick="t"/>
          <v:stroke dashstyle="1 1" endcap="round"/>
          <v:shadow opacity="22938f" offset="0"/>
        </v:line>
      </w:pict>
    </w:r>
  </w:p>
  <w:p w:rsidR="00304BAC" w:rsidRPr="00393087" w:rsidRDefault="00304BAC" w:rsidP="003930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964CC"/>
    <w:multiLevelType w:val="multilevel"/>
    <w:tmpl w:val="847063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5101CCC"/>
    <w:multiLevelType w:val="multilevel"/>
    <w:tmpl w:val="0E88CA3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BA91503"/>
    <w:multiLevelType w:val="multilevel"/>
    <w:tmpl w:val="A3A228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632F5513"/>
    <w:multiLevelType w:val="multilevel"/>
    <w:tmpl w:val="0A76D4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9">
      <o:colormenu v:ext="edit" fillcolor="none" strokecolor="none [209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00BD8"/>
    <w:rsid w:val="000455C4"/>
    <w:rsid w:val="0007231C"/>
    <w:rsid w:val="000D58E0"/>
    <w:rsid w:val="00134F0A"/>
    <w:rsid w:val="001D2C09"/>
    <w:rsid w:val="00296362"/>
    <w:rsid w:val="002A76E3"/>
    <w:rsid w:val="002D27B2"/>
    <w:rsid w:val="00304BAC"/>
    <w:rsid w:val="00324726"/>
    <w:rsid w:val="00332584"/>
    <w:rsid w:val="00351277"/>
    <w:rsid w:val="00393087"/>
    <w:rsid w:val="003E51FA"/>
    <w:rsid w:val="0043332F"/>
    <w:rsid w:val="00485CEF"/>
    <w:rsid w:val="00534E96"/>
    <w:rsid w:val="00544282"/>
    <w:rsid w:val="00606E47"/>
    <w:rsid w:val="00633A4A"/>
    <w:rsid w:val="006405ED"/>
    <w:rsid w:val="006C3C41"/>
    <w:rsid w:val="006D67CF"/>
    <w:rsid w:val="00724FCB"/>
    <w:rsid w:val="007E2D7C"/>
    <w:rsid w:val="007F37B1"/>
    <w:rsid w:val="00800BD8"/>
    <w:rsid w:val="00871501"/>
    <w:rsid w:val="00891D28"/>
    <w:rsid w:val="00893DBA"/>
    <w:rsid w:val="008D1E00"/>
    <w:rsid w:val="00946BB0"/>
    <w:rsid w:val="00965177"/>
    <w:rsid w:val="00990108"/>
    <w:rsid w:val="009B3454"/>
    <w:rsid w:val="009D3936"/>
    <w:rsid w:val="009E5199"/>
    <w:rsid w:val="00AF42DD"/>
    <w:rsid w:val="00B15A3B"/>
    <w:rsid w:val="00B162C3"/>
    <w:rsid w:val="00BB664F"/>
    <w:rsid w:val="00BE466B"/>
    <w:rsid w:val="00C13677"/>
    <w:rsid w:val="00C54773"/>
    <w:rsid w:val="00CA7D8A"/>
    <w:rsid w:val="00CE4920"/>
    <w:rsid w:val="00D31448"/>
    <w:rsid w:val="00D51722"/>
    <w:rsid w:val="00D540A0"/>
    <w:rsid w:val="00E2276B"/>
    <w:rsid w:val="00E56F52"/>
    <w:rsid w:val="00E668A4"/>
    <w:rsid w:val="00ED2824"/>
    <w:rsid w:val="00EF5A66"/>
    <w:rsid w:val="00F114C7"/>
    <w:rsid w:val="00F35ECF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5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651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Prozentrechnen – Klassenstufe xx</vt:lpstr>
      <vt:lpstr>    Glossar</vt:lpstr>
      <vt:lpstr>    Schlagworte</vt:lpstr>
    </vt:vector>
  </TitlesOfParts>
  <Manager/>
  <Company/>
  <LinksUpToDate>false</LinksUpToDate>
  <CharactersWithSpaces>2363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Lier</dc:creator>
  <cp:keywords/>
  <dc:description/>
  <cp:lastModifiedBy>Klett Julia</cp:lastModifiedBy>
  <cp:revision>26</cp:revision>
  <cp:lastPrinted>2016-02-08T18:20:00Z</cp:lastPrinted>
  <dcterms:created xsi:type="dcterms:W3CDTF">2016-02-03T20:13:00Z</dcterms:created>
  <dcterms:modified xsi:type="dcterms:W3CDTF">2016-05-09T07:49:00Z</dcterms:modified>
  <cp:category/>
</cp:coreProperties>
</file>